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6C59" w:rsidRDefault="0005772C">
      <w:pPr>
        <w:ind w:firstLine="720"/>
        <w:jc w:val="both"/>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mc:AlternateContent>
          <mc:Choice Requires="wpg">
            <w:drawing>
              <wp:anchor distT="0" distB="0" distL="0" distR="0" simplePos="0" relativeHeight="251658240" behindDoc="0" locked="0" layoutInCell="1" hidden="0" allowOverlap="1">
                <wp:simplePos x="0" y="0"/>
                <wp:positionH relativeFrom="page">
                  <wp:posOffset>5510213</wp:posOffset>
                </wp:positionH>
                <wp:positionV relativeFrom="page">
                  <wp:posOffset>297180</wp:posOffset>
                </wp:positionV>
                <wp:extent cx="1272858" cy="502216"/>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272858" cy="502216"/>
                          <a:chOff x="152400" y="152400"/>
                          <a:chExt cx="3385275" cy="1318000"/>
                        </a:xfrm>
                      </wpg:grpSpPr>
                      <pic:pic xmlns:pic="http://schemas.openxmlformats.org/drawingml/2006/picture">
                        <pic:nvPicPr>
                          <pic:cNvPr id="2" name="Shape 2" descr="WEESMS+Logo_blue.png"/>
                          <pic:cNvPicPr preferRelativeResize="0"/>
                        </pic:nvPicPr>
                        <pic:blipFill>
                          <a:blip r:embed="rId7">
                            <a:alphaModFix/>
                          </a:blip>
                          <a:stretch>
                            <a:fillRect/>
                          </a:stretch>
                        </pic:blipFill>
                        <pic:spPr>
                          <a:xfrm>
                            <a:off x="152400" y="152400"/>
                            <a:ext cx="3385275" cy="13180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5510213</wp:posOffset>
                </wp:positionH>
                <wp:positionV relativeFrom="page">
                  <wp:posOffset>297180</wp:posOffset>
                </wp:positionV>
                <wp:extent cx="1272858" cy="50221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2858" cy="502216"/>
                        </a:xfrm>
                        <a:prstGeom prst="rect"/>
                        <a:ln/>
                      </pic:spPr>
                    </pic:pic>
                  </a:graphicData>
                </a:graphic>
              </wp:anchor>
            </w:drawing>
          </mc:Fallback>
        </mc:AlternateContent>
      </w:r>
    </w:p>
    <w:p w:rsidR="00926C59" w:rsidRDefault="0005772C">
      <w:pPr>
        <w:rPr>
          <w:rFonts w:ascii="Roboto Slab" w:eastAsia="Roboto Slab" w:hAnsi="Roboto Slab" w:cs="Roboto Slab"/>
          <w:b/>
          <w:color w:val="434343"/>
          <w:sz w:val="36"/>
          <w:szCs w:val="36"/>
        </w:rPr>
      </w:pPr>
      <w:r>
        <w:rPr>
          <w:rFonts w:ascii="Roboto Slab" w:eastAsia="Roboto Slab" w:hAnsi="Roboto Slab" w:cs="Roboto Slab"/>
          <w:b/>
          <w:color w:val="434343"/>
          <w:sz w:val="48"/>
          <w:szCs w:val="48"/>
        </w:rPr>
        <w:t xml:space="preserve">WEESMS | </w:t>
      </w:r>
      <w:r>
        <w:rPr>
          <w:rFonts w:ascii="Roboto Slab" w:eastAsia="Roboto Slab" w:hAnsi="Roboto Slab" w:cs="Roboto Slab"/>
          <w:b/>
          <w:color w:val="434343"/>
          <w:sz w:val="44"/>
          <w:szCs w:val="44"/>
        </w:rPr>
        <w:t>Classification of SMEs Based on Tiers</w:t>
      </w:r>
      <w:r>
        <w:pict>
          <v:rect id="_x0000_i1025" style="width:0;height:1.5pt" o:hralign="center" o:hrstd="t" o:hr="t" fillcolor="#a0a0a0" stroked="f"/>
        </w:pict>
      </w:r>
    </w:p>
    <w:p w:rsidR="00926C59" w:rsidRDefault="0005772C">
      <w:pPr>
        <w:spacing w:line="312" w:lineRule="auto"/>
        <w:rPr>
          <w:rFonts w:ascii="Libre Baskerville" w:eastAsia="Libre Baskerville" w:hAnsi="Libre Baskerville" w:cs="Libre Baskerville"/>
          <w:b/>
          <w:color w:val="3BC466"/>
          <w:sz w:val="18"/>
          <w:szCs w:val="18"/>
        </w:rPr>
      </w:pPr>
      <w:r>
        <w:rPr>
          <w:rFonts w:ascii="Libre Baskerville" w:eastAsia="Libre Baskerville" w:hAnsi="Libre Baskerville" w:cs="Libre Baskerville"/>
          <w:b/>
          <w:color w:val="3BC466"/>
          <w:sz w:val="18"/>
          <w:szCs w:val="18"/>
        </w:rPr>
        <w:t xml:space="preserve">The definitions of Small Medium Enterprises (SMEs) often vary by country and are usually based on the annual turnover or the value of the assets and the number of employees. The WEESMS </w:t>
      </w:r>
      <w:proofErr w:type="spellStart"/>
      <w:r>
        <w:rPr>
          <w:rFonts w:ascii="Libre Baskerville" w:eastAsia="Libre Baskerville" w:hAnsi="Libre Baskerville" w:cs="Libre Baskerville"/>
          <w:b/>
          <w:color w:val="3BC466"/>
          <w:sz w:val="18"/>
          <w:szCs w:val="18"/>
        </w:rPr>
        <w:t>programme</w:t>
      </w:r>
      <w:proofErr w:type="spellEnd"/>
      <w:r>
        <w:rPr>
          <w:rFonts w:ascii="Libre Baskerville" w:eastAsia="Libre Baskerville" w:hAnsi="Libre Baskerville" w:cs="Libre Baskerville"/>
          <w:b/>
          <w:color w:val="3BC466"/>
          <w:sz w:val="18"/>
          <w:szCs w:val="18"/>
        </w:rPr>
        <w:t xml:space="preserve"> follows the guidelines and the definitions of Cottage, Micro,</w:t>
      </w:r>
      <w:r>
        <w:rPr>
          <w:rFonts w:ascii="Libre Baskerville" w:eastAsia="Libre Baskerville" w:hAnsi="Libre Baskerville" w:cs="Libre Baskerville"/>
          <w:b/>
          <w:color w:val="3BC466"/>
          <w:sz w:val="18"/>
          <w:szCs w:val="18"/>
        </w:rPr>
        <w:t xml:space="preserve"> Small and Medium Enterprise (CMSME) set by the Ministry of Industry, under the National Industrial Policy of 2016. </w:t>
      </w:r>
    </w:p>
    <w:p w:rsidR="00926C59" w:rsidRDefault="0005772C">
      <w:pPr>
        <w:spacing w:line="312" w:lineRule="auto"/>
        <w:rPr>
          <w:rFonts w:ascii="Libre Baskerville" w:eastAsia="Libre Baskerville" w:hAnsi="Libre Baskerville" w:cs="Libre Baskerville"/>
          <w:b/>
          <w:color w:val="3BC466"/>
          <w:sz w:val="18"/>
          <w:szCs w:val="18"/>
        </w:rPr>
      </w:pPr>
      <w:r>
        <w:rPr>
          <w:rFonts w:ascii="Libre Baskerville" w:eastAsia="Libre Baskerville" w:hAnsi="Libre Baskerville" w:cs="Libre Baskerville"/>
          <w:b/>
          <w:color w:val="3BC466"/>
          <w:sz w:val="18"/>
          <w:szCs w:val="18"/>
        </w:rPr>
        <w:t xml:space="preserve">In addition, the </w:t>
      </w:r>
      <w:proofErr w:type="spellStart"/>
      <w:r>
        <w:rPr>
          <w:rFonts w:ascii="Libre Baskerville" w:eastAsia="Libre Baskerville" w:hAnsi="Libre Baskerville" w:cs="Libre Baskerville"/>
          <w:b/>
          <w:color w:val="3BC466"/>
          <w:sz w:val="18"/>
          <w:szCs w:val="18"/>
        </w:rPr>
        <w:t>programme</w:t>
      </w:r>
      <w:proofErr w:type="spellEnd"/>
      <w:r>
        <w:rPr>
          <w:rFonts w:ascii="Libre Baskerville" w:eastAsia="Libre Baskerville" w:hAnsi="Libre Baskerville" w:cs="Libre Baskerville"/>
          <w:b/>
          <w:color w:val="3BC466"/>
          <w:sz w:val="18"/>
          <w:szCs w:val="18"/>
        </w:rPr>
        <w:t xml:space="preserve"> has also created a </w:t>
      </w:r>
      <w:proofErr w:type="spellStart"/>
      <w:r>
        <w:rPr>
          <w:rFonts w:ascii="Libre Baskerville" w:eastAsia="Libre Baskerville" w:hAnsi="Libre Baskerville" w:cs="Libre Baskerville"/>
          <w:b/>
          <w:color w:val="3BC466"/>
          <w:sz w:val="18"/>
          <w:szCs w:val="18"/>
        </w:rPr>
        <w:t>Tiering</w:t>
      </w:r>
      <w:proofErr w:type="spellEnd"/>
      <w:r>
        <w:rPr>
          <w:rFonts w:ascii="Libre Baskerville" w:eastAsia="Libre Baskerville" w:hAnsi="Libre Baskerville" w:cs="Libre Baskerville"/>
          <w:b/>
          <w:color w:val="3BC466"/>
          <w:sz w:val="18"/>
          <w:szCs w:val="18"/>
        </w:rPr>
        <w:t xml:space="preserve"> system for the SMEs in order to deliver our interventions effectively based on the ne</w:t>
      </w:r>
      <w:r>
        <w:rPr>
          <w:rFonts w:ascii="Libre Baskerville" w:eastAsia="Libre Baskerville" w:hAnsi="Libre Baskerville" w:cs="Libre Baskerville"/>
          <w:b/>
          <w:color w:val="3BC466"/>
          <w:sz w:val="18"/>
          <w:szCs w:val="18"/>
        </w:rPr>
        <w:t>eds of each of these tiers.</w:t>
      </w:r>
    </w:p>
    <w:p w:rsidR="00926C59" w:rsidRDefault="00926C59">
      <w:pPr>
        <w:pStyle w:val="Heading5"/>
        <w:widowControl w:val="0"/>
        <w:spacing w:before="0" w:after="0" w:line="276" w:lineRule="auto"/>
        <w:jc w:val="both"/>
        <w:rPr>
          <w:rFonts w:ascii="Libre Baskerville" w:eastAsia="Libre Baskerville" w:hAnsi="Libre Baskerville" w:cs="Libre Baskerville"/>
          <w:b w:val="0"/>
          <w:sz w:val="18"/>
          <w:szCs w:val="18"/>
        </w:rPr>
      </w:pPr>
      <w:bookmarkStart w:id="1" w:name="_u6tllg9w6717" w:colFirst="0" w:colLast="0"/>
      <w:bookmarkEnd w:id="1"/>
    </w:p>
    <w:p w:rsidR="00926C59" w:rsidRDefault="0005772C">
      <w:pPr>
        <w:pStyle w:val="Heading5"/>
        <w:widowControl w:val="0"/>
        <w:spacing w:before="0" w:after="0" w:line="276" w:lineRule="auto"/>
        <w:jc w:val="both"/>
        <w:rPr>
          <w:rFonts w:ascii="Libre Baskerville" w:eastAsia="Libre Baskerville" w:hAnsi="Libre Baskerville" w:cs="Libre Baskerville"/>
          <w:b w:val="0"/>
          <w:sz w:val="18"/>
          <w:szCs w:val="18"/>
        </w:rPr>
      </w:pPr>
      <w:bookmarkStart w:id="2" w:name="_twn447z6wa5r" w:colFirst="0" w:colLast="0"/>
      <w:bookmarkEnd w:id="2"/>
      <w:r>
        <w:rPr>
          <w:rFonts w:ascii="Libre Baskerville" w:eastAsia="Libre Baskerville" w:hAnsi="Libre Baskerville" w:cs="Libre Baskerville"/>
          <w:b w:val="0"/>
          <w:sz w:val="18"/>
          <w:szCs w:val="18"/>
        </w:rPr>
        <w:t xml:space="preserve">The following criteria have been established in the </w:t>
      </w:r>
      <w:proofErr w:type="spellStart"/>
      <w:r>
        <w:rPr>
          <w:rFonts w:ascii="Libre Baskerville" w:eastAsia="Libre Baskerville" w:hAnsi="Libre Baskerville" w:cs="Libre Baskerville"/>
          <w:b w:val="0"/>
          <w:sz w:val="18"/>
          <w:szCs w:val="18"/>
        </w:rPr>
        <w:t>programme</w:t>
      </w:r>
      <w:proofErr w:type="spellEnd"/>
      <w:r>
        <w:rPr>
          <w:rFonts w:ascii="Libre Baskerville" w:eastAsia="Libre Baskerville" w:hAnsi="Libre Baskerville" w:cs="Libre Baskerville"/>
          <w:b w:val="0"/>
          <w:sz w:val="18"/>
          <w:szCs w:val="18"/>
        </w:rPr>
        <w:t xml:space="preserve"> to segregate SMEs in different tiers based on the physical evidence and performance indicators:</w:t>
      </w:r>
    </w:p>
    <w:p w:rsidR="00926C59" w:rsidRDefault="00926C59">
      <w:pPr>
        <w:spacing w:after="0"/>
        <w:jc w:val="both"/>
      </w:pPr>
    </w:p>
    <w:tbl>
      <w:tblPr>
        <w:tblStyle w:val="a"/>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740"/>
        <w:gridCol w:w="1245"/>
        <w:gridCol w:w="975"/>
        <w:gridCol w:w="1020"/>
        <w:gridCol w:w="1065"/>
      </w:tblGrid>
      <w:tr w:rsidR="00926C59">
        <w:trPr>
          <w:trHeight w:val="460"/>
          <w:jc w:val="center"/>
        </w:trPr>
        <w:tc>
          <w:tcPr>
            <w:tcW w:w="780" w:type="dxa"/>
            <w:shd w:val="clear" w:color="auto" w:fill="6AA84F"/>
            <w:vAlign w:val="center"/>
          </w:tcPr>
          <w:p w:rsidR="00926C59" w:rsidRDefault="0005772C">
            <w:pPr>
              <w:widowControl w:val="0"/>
              <w:pBdr>
                <w:top w:val="nil"/>
                <w:left w:val="nil"/>
                <w:bottom w:val="nil"/>
                <w:right w:val="nil"/>
                <w:between w:val="nil"/>
              </w:pBdr>
              <w:ind w:right="180"/>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S.N.</w:t>
            </w:r>
          </w:p>
        </w:tc>
        <w:tc>
          <w:tcPr>
            <w:tcW w:w="4740" w:type="dxa"/>
            <w:shd w:val="clear" w:color="auto" w:fill="6AA84F"/>
            <w:vAlign w:val="center"/>
          </w:tcPr>
          <w:p w:rsidR="00926C59" w:rsidRDefault="0005772C">
            <w:pPr>
              <w:widowControl w:val="0"/>
              <w:pBdr>
                <w:top w:val="nil"/>
                <w:left w:val="nil"/>
                <w:bottom w:val="nil"/>
                <w:right w:val="nil"/>
                <w:between w:val="nil"/>
              </w:pBdr>
              <w:ind w:right="180"/>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Description</w:t>
            </w:r>
          </w:p>
        </w:tc>
        <w:tc>
          <w:tcPr>
            <w:tcW w:w="1245" w:type="dxa"/>
            <w:shd w:val="clear" w:color="auto" w:fill="6AA84F"/>
            <w:vAlign w:val="center"/>
          </w:tcPr>
          <w:p w:rsidR="00926C59" w:rsidRDefault="0005772C">
            <w:pPr>
              <w:widowControl w:val="0"/>
              <w:pBdr>
                <w:top w:val="nil"/>
                <w:left w:val="nil"/>
                <w:bottom w:val="nil"/>
                <w:right w:val="nil"/>
                <w:between w:val="nil"/>
              </w:pBdr>
              <w:ind w:right="180"/>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Tier A</w:t>
            </w:r>
          </w:p>
        </w:tc>
        <w:tc>
          <w:tcPr>
            <w:tcW w:w="975" w:type="dxa"/>
            <w:shd w:val="clear" w:color="auto" w:fill="6AA84F"/>
            <w:vAlign w:val="center"/>
          </w:tcPr>
          <w:p w:rsidR="00926C59" w:rsidRDefault="0005772C">
            <w:pPr>
              <w:widowControl w:val="0"/>
              <w:pBdr>
                <w:top w:val="nil"/>
                <w:left w:val="nil"/>
                <w:bottom w:val="nil"/>
                <w:right w:val="nil"/>
                <w:between w:val="nil"/>
              </w:pBdr>
              <w:ind w:right="180"/>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Tier B</w:t>
            </w:r>
          </w:p>
        </w:tc>
        <w:tc>
          <w:tcPr>
            <w:tcW w:w="1020" w:type="dxa"/>
            <w:shd w:val="clear" w:color="auto" w:fill="6AA84F"/>
            <w:vAlign w:val="center"/>
          </w:tcPr>
          <w:p w:rsidR="00926C59" w:rsidRDefault="0005772C">
            <w:pPr>
              <w:widowControl w:val="0"/>
              <w:pBdr>
                <w:top w:val="nil"/>
                <w:left w:val="nil"/>
                <w:bottom w:val="nil"/>
                <w:right w:val="nil"/>
                <w:between w:val="nil"/>
              </w:pBdr>
              <w:ind w:right="180"/>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Tier C</w:t>
            </w:r>
          </w:p>
        </w:tc>
        <w:tc>
          <w:tcPr>
            <w:tcW w:w="1065" w:type="dxa"/>
            <w:shd w:val="clear" w:color="auto" w:fill="6AA84F"/>
            <w:vAlign w:val="center"/>
          </w:tcPr>
          <w:p w:rsidR="00926C59" w:rsidRDefault="0005772C">
            <w:pPr>
              <w:widowControl w:val="0"/>
              <w:pBdr>
                <w:top w:val="nil"/>
                <w:left w:val="nil"/>
                <w:bottom w:val="nil"/>
                <w:right w:val="nil"/>
                <w:between w:val="nil"/>
              </w:pBdr>
              <w:ind w:right="180"/>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Tier D</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TIN Certificate of Business</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2.</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Trade License (Updated)</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3.</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 xml:space="preserve">Separate Manufacturing unit </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4.</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Current Bank Account in the name of Business</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5.</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Laptop/Desktop for Business Usages</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6.</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Smartphone for Business Usages</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7.</w:t>
            </w:r>
          </w:p>
        </w:tc>
        <w:tc>
          <w:tcPr>
            <w:tcW w:w="474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Bookkeeping and Business management</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Yes</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NA</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8.</w:t>
            </w:r>
          </w:p>
        </w:tc>
        <w:tc>
          <w:tcPr>
            <w:tcW w:w="4740" w:type="dxa"/>
            <w:shd w:val="clear" w:color="auto" w:fill="auto"/>
            <w:vAlign w:val="center"/>
          </w:tcPr>
          <w:p w:rsidR="00926C59" w:rsidRDefault="0005772C">
            <w:pPr>
              <w:spacing w:after="160"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Quarterly Sales volume</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5 lakh+</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3-5 lakh</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1-3 lakh</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less than 1 lakh</w:t>
            </w:r>
          </w:p>
        </w:tc>
      </w:tr>
      <w:tr w:rsidR="00926C59">
        <w:trPr>
          <w:trHeight w:val="460"/>
          <w:jc w:val="center"/>
        </w:trPr>
        <w:tc>
          <w:tcPr>
            <w:tcW w:w="780" w:type="dxa"/>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9.</w:t>
            </w:r>
          </w:p>
        </w:tc>
        <w:tc>
          <w:tcPr>
            <w:tcW w:w="4740" w:type="dxa"/>
            <w:shd w:val="clear" w:color="auto" w:fill="auto"/>
            <w:vAlign w:val="center"/>
          </w:tcPr>
          <w:p w:rsidR="00926C59" w:rsidRDefault="0005772C">
            <w:pPr>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Monthly Production Capacity</w:t>
            </w:r>
          </w:p>
          <w:p w:rsidR="00926C59" w:rsidRDefault="0005772C">
            <w:pPr>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 xml:space="preserve"> (For major 3 products)</w:t>
            </w:r>
          </w:p>
        </w:tc>
        <w:tc>
          <w:tcPr>
            <w:tcW w:w="124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&gt;500</w:t>
            </w:r>
          </w:p>
        </w:tc>
        <w:tc>
          <w:tcPr>
            <w:tcW w:w="97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301-500</w:t>
            </w:r>
          </w:p>
        </w:tc>
        <w:tc>
          <w:tcPr>
            <w:tcW w:w="1020"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101-300</w:t>
            </w:r>
          </w:p>
        </w:tc>
        <w:tc>
          <w:tcPr>
            <w:tcW w:w="1065" w:type="dxa"/>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&lt;100</w:t>
            </w:r>
          </w:p>
        </w:tc>
      </w:tr>
      <w:tr w:rsidR="00926C59">
        <w:trPr>
          <w:trHeight w:val="460"/>
          <w:jc w:val="center"/>
        </w:trPr>
        <w:tc>
          <w:tcPr>
            <w:tcW w:w="5520" w:type="dxa"/>
            <w:gridSpan w:val="2"/>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Number of SME in Rangpur Zone[N=280]</w:t>
            </w:r>
          </w:p>
        </w:tc>
        <w:tc>
          <w:tcPr>
            <w:tcW w:w="124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23</w:t>
            </w:r>
          </w:p>
        </w:tc>
        <w:tc>
          <w:tcPr>
            <w:tcW w:w="97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57</w:t>
            </w:r>
          </w:p>
        </w:tc>
        <w:tc>
          <w:tcPr>
            <w:tcW w:w="1020"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81</w:t>
            </w:r>
          </w:p>
        </w:tc>
        <w:tc>
          <w:tcPr>
            <w:tcW w:w="106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119</w:t>
            </w:r>
          </w:p>
        </w:tc>
      </w:tr>
      <w:tr w:rsidR="00926C59">
        <w:trPr>
          <w:trHeight w:val="460"/>
          <w:jc w:val="center"/>
        </w:trPr>
        <w:tc>
          <w:tcPr>
            <w:tcW w:w="5520" w:type="dxa"/>
            <w:gridSpan w:val="2"/>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Percentage of SME in Rangpur Zone</w:t>
            </w:r>
          </w:p>
        </w:tc>
        <w:tc>
          <w:tcPr>
            <w:tcW w:w="124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8.2%</w:t>
            </w:r>
          </w:p>
        </w:tc>
        <w:tc>
          <w:tcPr>
            <w:tcW w:w="97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20.4%</w:t>
            </w:r>
          </w:p>
        </w:tc>
        <w:tc>
          <w:tcPr>
            <w:tcW w:w="1020"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29%</w:t>
            </w:r>
          </w:p>
        </w:tc>
        <w:tc>
          <w:tcPr>
            <w:tcW w:w="106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42.4%</w:t>
            </w:r>
          </w:p>
        </w:tc>
      </w:tr>
      <w:tr w:rsidR="00926C59">
        <w:trPr>
          <w:trHeight w:val="460"/>
          <w:jc w:val="center"/>
        </w:trPr>
        <w:tc>
          <w:tcPr>
            <w:tcW w:w="5520" w:type="dxa"/>
            <w:gridSpan w:val="2"/>
            <w:shd w:val="clear" w:color="auto" w:fill="auto"/>
            <w:vAlign w:val="center"/>
          </w:tcPr>
          <w:p w:rsidR="00926C59" w:rsidRDefault="0005772C">
            <w:pP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Number of SME in Khulna Zone[N=273]</w:t>
            </w:r>
          </w:p>
        </w:tc>
        <w:tc>
          <w:tcPr>
            <w:tcW w:w="124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13</w:t>
            </w:r>
          </w:p>
        </w:tc>
        <w:tc>
          <w:tcPr>
            <w:tcW w:w="97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36</w:t>
            </w:r>
          </w:p>
        </w:tc>
        <w:tc>
          <w:tcPr>
            <w:tcW w:w="1020"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43</w:t>
            </w:r>
          </w:p>
        </w:tc>
        <w:tc>
          <w:tcPr>
            <w:tcW w:w="106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181</w:t>
            </w:r>
          </w:p>
        </w:tc>
      </w:tr>
      <w:tr w:rsidR="00926C59">
        <w:trPr>
          <w:trHeight w:val="460"/>
          <w:jc w:val="center"/>
        </w:trPr>
        <w:tc>
          <w:tcPr>
            <w:tcW w:w="5520" w:type="dxa"/>
            <w:gridSpan w:val="2"/>
            <w:shd w:val="clear" w:color="auto" w:fill="FFFFFF"/>
            <w:vAlign w:val="center"/>
          </w:tcPr>
          <w:p w:rsidR="00926C59" w:rsidRDefault="0005772C">
            <w:pPr>
              <w:spacing w:line="276" w:lineRule="auto"/>
              <w:jc w:val="both"/>
              <w:rPr>
                <w:rFonts w:ascii="Libre Baskerville" w:eastAsia="Libre Baskerville" w:hAnsi="Libre Baskerville" w:cs="Libre Baskerville"/>
                <w:sz w:val="17"/>
                <w:szCs w:val="17"/>
                <w:highlight w:val="white"/>
              </w:rPr>
            </w:pPr>
            <w:r>
              <w:rPr>
                <w:rFonts w:ascii="Libre Baskerville" w:eastAsia="Libre Baskerville" w:hAnsi="Libre Baskerville" w:cs="Libre Baskerville"/>
                <w:sz w:val="17"/>
                <w:szCs w:val="17"/>
                <w:highlight w:val="white"/>
              </w:rPr>
              <w:t>Percentage of SME in Khulna Zone</w:t>
            </w:r>
          </w:p>
        </w:tc>
        <w:tc>
          <w:tcPr>
            <w:tcW w:w="124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5%</w:t>
            </w:r>
          </w:p>
        </w:tc>
        <w:tc>
          <w:tcPr>
            <w:tcW w:w="97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13%</w:t>
            </w:r>
          </w:p>
        </w:tc>
        <w:tc>
          <w:tcPr>
            <w:tcW w:w="1020"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16%</w:t>
            </w:r>
          </w:p>
        </w:tc>
        <w:tc>
          <w:tcPr>
            <w:tcW w:w="1065" w:type="dxa"/>
            <w:vAlign w:val="center"/>
          </w:tcPr>
          <w:p w:rsidR="00926C59" w:rsidRDefault="0005772C">
            <w:pPr>
              <w:pBdr>
                <w:top w:val="nil"/>
                <w:left w:val="nil"/>
                <w:bottom w:val="nil"/>
                <w:right w:val="nil"/>
                <w:between w:val="nil"/>
              </w:pBdr>
              <w:spacing w:line="276" w:lineRule="auto"/>
              <w:jc w:val="both"/>
              <w:rPr>
                <w:rFonts w:ascii="Libre Baskerville" w:eastAsia="Libre Baskerville" w:hAnsi="Libre Baskerville" w:cs="Libre Baskerville"/>
                <w:sz w:val="17"/>
                <w:szCs w:val="17"/>
              </w:rPr>
            </w:pPr>
            <w:r>
              <w:rPr>
                <w:rFonts w:ascii="Libre Baskerville" w:eastAsia="Libre Baskerville" w:hAnsi="Libre Baskerville" w:cs="Libre Baskerville"/>
                <w:sz w:val="17"/>
                <w:szCs w:val="17"/>
              </w:rPr>
              <w:t>66 %</w:t>
            </w:r>
          </w:p>
        </w:tc>
      </w:tr>
    </w:tbl>
    <w:p w:rsidR="00926C59" w:rsidRDefault="00926C59">
      <w:pPr>
        <w:spacing w:line="312" w:lineRule="auto"/>
        <w:jc w:val="both"/>
        <w:rPr>
          <w:rFonts w:ascii="Libre Baskerville" w:eastAsia="Libre Baskerville" w:hAnsi="Libre Baskerville" w:cs="Libre Baskerville"/>
          <w:sz w:val="18"/>
          <w:szCs w:val="18"/>
        </w:rPr>
      </w:pPr>
    </w:p>
    <w:p w:rsidR="00926C59" w:rsidRDefault="0005772C">
      <w:pPr>
        <w:spacing w:line="312"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Based on the cluster needs assessment conducted in 2019, WEESMS has identified different groups/tiers of SMEs who have disparate needs among the groups/tiers but are homogenized within. The interventions have hence been designed in a process that takes int</w:t>
      </w:r>
      <w:r>
        <w:rPr>
          <w:rFonts w:ascii="Libre Baskerville" w:eastAsia="Libre Baskerville" w:hAnsi="Libre Baskerville" w:cs="Libre Baskerville"/>
          <w:sz w:val="18"/>
          <w:szCs w:val="18"/>
        </w:rPr>
        <w:t xml:space="preserve">o account these unique needs of the SMEs. </w:t>
      </w:r>
    </w:p>
    <w:p w:rsidR="00926C59" w:rsidRDefault="0005772C">
      <w:pPr>
        <w:spacing w:line="312"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lastRenderedPageBreak/>
        <w:t>For capacity building and information dissemination support on various areas including product design, e-commerce management, and also gender sensitization and decent work practices, higher tier SMEs will be upski</w:t>
      </w:r>
      <w:r>
        <w:rPr>
          <w:rFonts w:ascii="Libre Baskerville" w:eastAsia="Libre Baskerville" w:hAnsi="Libre Baskerville" w:cs="Libre Baskerville"/>
          <w:sz w:val="18"/>
          <w:szCs w:val="18"/>
        </w:rPr>
        <w:t xml:space="preserve">lled directly through </w:t>
      </w:r>
      <w:proofErr w:type="spellStart"/>
      <w:r>
        <w:rPr>
          <w:rFonts w:ascii="Libre Baskerville" w:eastAsia="Libre Baskerville" w:hAnsi="Libre Baskerville" w:cs="Libre Baskerville"/>
          <w:sz w:val="18"/>
          <w:szCs w:val="18"/>
        </w:rPr>
        <w:t>programme</w:t>
      </w:r>
      <w:proofErr w:type="spellEnd"/>
      <w:r>
        <w:rPr>
          <w:rFonts w:ascii="Libre Baskerville" w:eastAsia="Libre Baskerville" w:hAnsi="Libre Baskerville" w:cs="Libre Baskerville"/>
          <w:sz w:val="18"/>
          <w:szCs w:val="18"/>
        </w:rPr>
        <w:t xml:space="preserve"> interventions and activities, which they will then impart to lower-tier SMEs who will be their cluster members. For market linkage support which includes different financial products, business registration support, Business </w:t>
      </w:r>
      <w:r>
        <w:rPr>
          <w:rFonts w:ascii="Libre Baskerville" w:eastAsia="Libre Baskerville" w:hAnsi="Libre Baskerville" w:cs="Libre Baskerville"/>
          <w:sz w:val="18"/>
          <w:szCs w:val="18"/>
        </w:rPr>
        <w:t>to Business (B2B) markets, etc., different tiers of SMEs will be connected to specific service providers who will cater to their specific requirements. The ultimate objective is to ensure Tier A SMEs experience unbridled business growth, while Tier B, C an</w:t>
      </w:r>
      <w:r>
        <w:rPr>
          <w:rFonts w:ascii="Libre Baskerville" w:eastAsia="Libre Baskerville" w:hAnsi="Libre Baskerville" w:cs="Libre Baskerville"/>
          <w:sz w:val="18"/>
          <w:szCs w:val="18"/>
        </w:rPr>
        <w:t xml:space="preserve">d D SMEs graduate to respective upper levels by year-end. </w:t>
      </w:r>
    </w:p>
    <w:p w:rsidR="00926C59" w:rsidRDefault="0005772C">
      <w:pPr>
        <w:spacing w:line="312" w:lineRule="auto"/>
        <w:jc w:val="both"/>
        <w:rPr>
          <w:rFonts w:ascii="Libre Baskerville" w:eastAsia="Libre Baskerville" w:hAnsi="Libre Baskerville" w:cs="Libre Baskerville"/>
          <w:b/>
          <w:color w:val="3BC466"/>
          <w:sz w:val="18"/>
          <w:szCs w:val="18"/>
        </w:rPr>
      </w:pPr>
      <w:r>
        <w:rPr>
          <w:rFonts w:ascii="Roboto Slab" w:eastAsia="Roboto Slab" w:hAnsi="Roboto Slab" w:cs="Roboto Slab"/>
          <w:b/>
          <w:color w:val="6AA84F"/>
        </w:rPr>
        <w:t xml:space="preserve">Tier A SMEs: </w:t>
      </w:r>
      <w:r>
        <w:rPr>
          <w:rFonts w:ascii="Libre Baskerville" w:eastAsia="Libre Baskerville" w:hAnsi="Libre Baskerville" w:cs="Libre Baskerville"/>
          <w:sz w:val="18"/>
          <w:szCs w:val="18"/>
        </w:rPr>
        <w:t xml:space="preserve">Tier A SMEs are the ones which fulfil the criterion for all of the physical evidence requirements </w:t>
      </w:r>
      <w:proofErr w:type="gramStart"/>
      <w:r>
        <w:rPr>
          <w:rFonts w:ascii="Libre Baskerville" w:eastAsia="Libre Baskerville" w:hAnsi="Libre Baskerville" w:cs="Libre Baskerville"/>
          <w:sz w:val="18"/>
          <w:szCs w:val="18"/>
        </w:rPr>
        <w:t>( Indicators</w:t>
      </w:r>
      <w:proofErr w:type="gramEnd"/>
      <w:r>
        <w:rPr>
          <w:rFonts w:ascii="Libre Baskerville" w:eastAsia="Libre Baskerville" w:hAnsi="Libre Baskerville" w:cs="Libre Baskerville"/>
          <w:sz w:val="18"/>
          <w:szCs w:val="18"/>
        </w:rPr>
        <w:t xml:space="preserve"> 1 through 7), but also are on the highest threshold for the performance-b</w:t>
      </w:r>
      <w:r>
        <w:rPr>
          <w:rFonts w:ascii="Libre Baskerville" w:eastAsia="Libre Baskerville" w:hAnsi="Libre Baskerville" w:cs="Libre Baskerville"/>
          <w:sz w:val="18"/>
          <w:szCs w:val="18"/>
        </w:rPr>
        <w:t xml:space="preserve">ased indicators (indicators 8 through 9). They are the biggest SMEs within the project beneficiary groups with separate production units, and larger workforce for both production units and home-based. The following support can be delivered to this tier of </w:t>
      </w:r>
      <w:r>
        <w:rPr>
          <w:rFonts w:ascii="Libre Baskerville" w:eastAsia="Libre Baskerville" w:hAnsi="Libre Baskerville" w:cs="Libre Baskerville"/>
          <w:sz w:val="18"/>
          <w:szCs w:val="18"/>
        </w:rPr>
        <w:t xml:space="preserve">SMEs: </w:t>
      </w:r>
    </w:p>
    <w:tbl>
      <w:tblPr>
        <w:tblStyle w:val="a0"/>
        <w:tblW w:w="9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5"/>
      </w:tblGrid>
      <w:tr w:rsidR="00926C59">
        <w:trPr>
          <w:trHeight w:val="380"/>
        </w:trPr>
        <w:tc>
          <w:tcPr>
            <w:tcW w:w="9603" w:type="dxa"/>
            <w:shd w:val="clear" w:color="auto" w:fill="6AA84F"/>
            <w:tcMar>
              <w:top w:w="100" w:type="dxa"/>
              <w:left w:w="100" w:type="dxa"/>
              <w:bottom w:w="100" w:type="dxa"/>
              <w:right w:w="100" w:type="dxa"/>
            </w:tcMar>
          </w:tcPr>
          <w:p w:rsidR="00926C59" w:rsidRDefault="0005772C">
            <w:pPr>
              <w:widowControl w:val="0"/>
              <w:pBdr>
                <w:top w:val="nil"/>
                <w:left w:val="nil"/>
                <w:bottom w:val="nil"/>
                <w:right w:val="nil"/>
                <w:between w:val="nil"/>
              </w:pBdr>
              <w:spacing w:after="0" w:line="240" w:lineRule="auto"/>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Activity Focus for Tier A SMEs</w:t>
            </w:r>
          </w:p>
        </w:tc>
      </w:tr>
      <w:tr w:rsidR="00926C59">
        <w:trPr>
          <w:trHeight w:val="380"/>
        </w:trPr>
        <w:tc>
          <w:tcPr>
            <w:tcW w:w="9603" w:type="dxa"/>
            <w:vMerge w:val="restart"/>
            <w:shd w:val="clear" w:color="auto" w:fill="auto"/>
            <w:tcMar>
              <w:top w:w="100" w:type="dxa"/>
              <w:left w:w="100" w:type="dxa"/>
              <w:bottom w:w="100" w:type="dxa"/>
              <w:right w:w="100" w:type="dxa"/>
            </w:tcMar>
          </w:tcPr>
          <w:p w:rsidR="00926C59" w:rsidRDefault="0005772C">
            <w:pPr>
              <w:numPr>
                <w:ilvl w:val="0"/>
                <w:numId w:val="2"/>
              </w:numPr>
              <w:pBdr>
                <w:top w:val="nil"/>
                <w:left w:val="nil"/>
                <w:bottom w:val="nil"/>
                <w:right w:val="nil"/>
                <w:between w:val="nil"/>
              </w:pBd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 xml:space="preserve">INT 2: Workplace safety measurement and decent workplace  </w:t>
            </w:r>
          </w:p>
          <w:p w:rsidR="00926C59" w:rsidRDefault="0005772C">
            <w:pPr>
              <w:numPr>
                <w:ilvl w:val="0"/>
                <w:numId w:val="2"/>
              </w:numPr>
              <w:pBdr>
                <w:top w:val="nil"/>
                <w:left w:val="nil"/>
                <w:bottom w:val="nil"/>
                <w:right w:val="nil"/>
                <w:between w:val="nil"/>
              </w:pBd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4: Manufacturing reengineering support for their signature product/s to increase efficiency</w:t>
            </w:r>
          </w:p>
          <w:p w:rsidR="00926C59" w:rsidRDefault="0005772C">
            <w:pPr>
              <w:numPr>
                <w:ilvl w:val="0"/>
                <w:numId w:val="2"/>
              </w:numPr>
              <w:pBdr>
                <w:top w:val="nil"/>
                <w:left w:val="nil"/>
                <w:bottom w:val="nil"/>
                <w:right w:val="nil"/>
                <w:between w:val="nil"/>
              </w:pBd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4 &amp; 7: Cluster Leader: Endowing them with cluster leadership (</w:t>
            </w:r>
            <w:proofErr w:type="spellStart"/>
            <w:r>
              <w:rPr>
                <w:rFonts w:ascii="Libre Baskerville" w:eastAsia="Libre Baskerville" w:hAnsi="Libre Baskerville" w:cs="Libre Baskerville"/>
                <w:sz w:val="18"/>
                <w:szCs w:val="18"/>
              </w:rPr>
              <w:t>Bagdoom</w:t>
            </w:r>
            <w:proofErr w:type="spellEnd"/>
            <w:r>
              <w:rPr>
                <w:rFonts w:ascii="Libre Baskerville" w:eastAsia="Libre Baskerville" w:hAnsi="Libre Baskerville" w:cs="Libre Baskerville"/>
                <w:sz w:val="18"/>
                <w:szCs w:val="18"/>
              </w:rPr>
              <w:t xml:space="preserve"> agent, master trainers, etc.)</w:t>
            </w:r>
          </w:p>
          <w:p w:rsidR="00926C59" w:rsidRDefault="0005772C">
            <w:pPr>
              <w:numPr>
                <w:ilvl w:val="0"/>
                <w:numId w:val="2"/>
              </w:numPr>
              <w:pBdr>
                <w:top w:val="nil"/>
                <w:left w:val="nil"/>
                <w:bottom w:val="nil"/>
                <w:right w:val="nil"/>
                <w:between w:val="nil"/>
              </w:pBd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5: Access to finance-large scale: As they have all documents to avail it</w:t>
            </w:r>
          </w:p>
          <w:p w:rsidR="00926C59" w:rsidRDefault="0005772C">
            <w:pPr>
              <w:numPr>
                <w:ilvl w:val="0"/>
                <w:numId w:val="2"/>
              </w:numP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7: Access to B2B market: As they produce in bulk</w:t>
            </w:r>
          </w:p>
          <w:p w:rsidR="00926C59" w:rsidRDefault="0005772C">
            <w:pPr>
              <w:numPr>
                <w:ilvl w:val="0"/>
                <w:numId w:val="2"/>
              </w:numP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7: Access to B2C m</w:t>
            </w:r>
            <w:r>
              <w:rPr>
                <w:rFonts w:ascii="Libre Baskerville" w:eastAsia="Libre Baskerville" w:hAnsi="Libre Baskerville" w:cs="Libre Baskerville"/>
                <w:sz w:val="18"/>
                <w:szCs w:val="18"/>
              </w:rPr>
              <w:t>arket: Online (</w:t>
            </w:r>
            <w:proofErr w:type="spellStart"/>
            <w:r>
              <w:rPr>
                <w:rFonts w:ascii="Libre Baskerville" w:eastAsia="Libre Baskerville" w:hAnsi="Libre Baskerville" w:cs="Libre Baskerville"/>
                <w:sz w:val="18"/>
                <w:szCs w:val="18"/>
              </w:rPr>
              <w:t>Bagdoom</w:t>
            </w:r>
            <w:proofErr w:type="spellEnd"/>
            <w:r>
              <w:rPr>
                <w:rFonts w:ascii="Libre Baskerville" w:eastAsia="Libre Baskerville" w:hAnsi="Libre Baskerville" w:cs="Libre Baskerville"/>
                <w:sz w:val="18"/>
                <w:szCs w:val="18"/>
              </w:rPr>
              <w:t>, others) &amp; offline (national fair &amp; others)</w:t>
            </w:r>
          </w:p>
          <w:p w:rsidR="00926C59" w:rsidRDefault="0005772C">
            <w:pPr>
              <w:numPr>
                <w:ilvl w:val="0"/>
                <w:numId w:val="2"/>
              </w:numP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7: Access to Export Markets: As they have few linkages on this regard but have capacity.</w:t>
            </w:r>
          </w:p>
          <w:p w:rsidR="00926C59" w:rsidRDefault="0005772C">
            <w:pPr>
              <w:numPr>
                <w:ilvl w:val="0"/>
                <w:numId w:val="2"/>
              </w:numPr>
              <w:spacing w:after="0" w:line="276" w:lineRule="auto"/>
              <w:ind w:left="630"/>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7: Priority to attend international and national level fairs</w:t>
            </w:r>
          </w:p>
        </w:tc>
      </w:tr>
      <w:tr w:rsidR="00926C59">
        <w:trPr>
          <w:trHeight w:val="380"/>
        </w:trPr>
        <w:tc>
          <w:tcPr>
            <w:tcW w:w="9603" w:type="dxa"/>
            <w:vMerge/>
            <w:shd w:val="clear" w:color="auto" w:fill="auto"/>
            <w:tcMar>
              <w:top w:w="100" w:type="dxa"/>
              <w:left w:w="100" w:type="dxa"/>
              <w:bottom w:w="100" w:type="dxa"/>
              <w:right w:w="100" w:type="dxa"/>
            </w:tcMar>
          </w:tcPr>
          <w:p w:rsidR="00926C59" w:rsidRDefault="00926C59">
            <w:pPr>
              <w:widowControl w:val="0"/>
              <w:pBdr>
                <w:top w:val="nil"/>
                <w:left w:val="nil"/>
                <w:bottom w:val="nil"/>
                <w:right w:val="nil"/>
                <w:between w:val="nil"/>
              </w:pBdr>
              <w:spacing w:after="0" w:line="240" w:lineRule="auto"/>
              <w:jc w:val="both"/>
              <w:rPr>
                <w:rFonts w:ascii="Libre Baskerville" w:eastAsia="Libre Baskerville" w:hAnsi="Libre Baskerville" w:cs="Libre Baskerville"/>
                <w:b/>
                <w:color w:val="3BC466"/>
                <w:sz w:val="18"/>
                <w:szCs w:val="18"/>
              </w:rPr>
            </w:pPr>
          </w:p>
        </w:tc>
      </w:tr>
    </w:tbl>
    <w:p w:rsidR="00926C59" w:rsidRDefault="00926C59">
      <w:pPr>
        <w:spacing w:before="200" w:line="312" w:lineRule="auto"/>
        <w:jc w:val="both"/>
        <w:rPr>
          <w:rFonts w:ascii="Roboto Slab" w:eastAsia="Roboto Slab" w:hAnsi="Roboto Slab" w:cs="Roboto Slab"/>
          <w:b/>
          <w:color w:val="6AA84F"/>
        </w:rPr>
      </w:pPr>
    </w:p>
    <w:p w:rsidR="00926C59" w:rsidRDefault="0005772C">
      <w:pPr>
        <w:spacing w:before="200" w:line="312" w:lineRule="auto"/>
        <w:jc w:val="both"/>
        <w:rPr>
          <w:rFonts w:ascii="Libre Baskerville" w:eastAsia="Libre Baskerville" w:hAnsi="Libre Baskerville" w:cs="Libre Baskerville"/>
          <w:sz w:val="18"/>
          <w:szCs w:val="18"/>
        </w:rPr>
      </w:pPr>
      <w:r>
        <w:rPr>
          <w:rFonts w:ascii="Roboto Slab" w:eastAsia="Roboto Slab" w:hAnsi="Roboto Slab" w:cs="Roboto Slab"/>
          <w:b/>
          <w:color w:val="6AA84F"/>
        </w:rPr>
        <w:t xml:space="preserve">Tier B SMEs: </w:t>
      </w:r>
      <w:r>
        <w:rPr>
          <w:rFonts w:ascii="Libre Baskerville" w:eastAsia="Libre Baskerville" w:hAnsi="Libre Baskerville" w:cs="Libre Baskerville"/>
          <w:sz w:val="18"/>
          <w:szCs w:val="18"/>
        </w:rPr>
        <w:t>The SMEs in the second tier fulfill physical evidence criteria including having a separate business bank account, updated trade license and smartphone for business usage. These are mostly home-based SMEs who do not have separate production centers. Most of</w:t>
      </w:r>
      <w:r>
        <w:rPr>
          <w:rFonts w:ascii="Libre Baskerville" w:eastAsia="Libre Baskerville" w:hAnsi="Libre Baskerville" w:cs="Libre Baskerville"/>
          <w:sz w:val="18"/>
          <w:szCs w:val="18"/>
        </w:rPr>
        <w:t xml:space="preserve"> their production efforts are focused on small scale over a diverse array of products. Thus, they cannot achieve the economies of scale required to cater to wholesale, B2B markets with competitive prices. Only a select few of them produce one or two specia</w:t>
      </w:r>
      <w:r>
        <w:rPr>
          <w:rFonts w:ascii="Libre Baskerville" w:eastAsia="Libre Baskerville" w:hAnsi="Libre Baskerville" w:cs="Libre Baskerville"/>
          <w:sz w:val="18"/>
          <w:szCs w:val="18"/>
        </w:rPr>
        <w:t xml:space="preserve">lized/signature products at large scale, with which they are able to enter the B2B market. The following support can be delivered to this tier of SMEs: </w:t>
      </w:r>
    </w:p>
    <w:tbl>
      <w:tblPr>
        <w:tblStyle w:val="a1"/>
        <w:tblW w:w="9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5"/>
      </w:tblGrid>
      <w:tr w:rsidR="00926C59">
        <w:trPr>
          <w:trHeight w:val="380"/>
        </w:trPr>
        <w:tc>
          <w:tcPr>
            <w:tcW w:w="9603" w:type="dxa"/>
            <w:shd w:val="clear" w:color="auto" w:fill="6AA84F"/>
            <w:tcMar>
              <w:top w:w="100" w:type="dxa"/>
              <w:left w:w="100" w:type="dxa"/>
              <w:bottom w:w="100" w:type="dxa"/>
              <w:right w:w="100" w:type="dxa"/>
            </w:tcMar>
          </w:tcPr>
          <w:p w:rsidR="00926C59" w:rsidRDefault="0005772C">
            <w:pPr>
              <w:widowControl w:val="0"/>
              <w:spacing w:after="0" w:line="240" w:lineRule="auto"/>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Activity Focus for Tier B SMEs</w:t>
            </w:r>
          </w:p>
        </w:tc>
      </w:tr>
      <w:tr w:rsidR="00926C59">
        <w:trPr>
          <w:trHeight w:val="380"/>
        </w:trPr>
        <w:tc>
          <w:tcPr>
            <w:tcW w:w="9603" w:type="dxa"/>
            <w:vMerge w:val="restart"/>
            <w:shd w:val="clear" w:color="auto" w:fill="auto"/>
            <w:tcMar>
              <w:top w:w="100" w:type="dxa"/>
              <w:left w:w="100" w:type="dxa"/>
              <w:bottom w:w="100" w:type="dxa"/>
              <w:right w:w="100" w:type="dxa"/>
            </w:tcMar>
          </w:tcPr>
          <w:p w:rsidR="00926C59" w:rsidRDefault="0005772C">
            <w:pPr>
              <w:numPr>
                <w:ilvl w:val="0"/>
                <w:numId w:val="1"/>
              </w:numPr>
              <w:spacing w:after="0" w:line="276" w:lineRule="auto"/>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 xml:space="preserve">INT 1: Support for Financial Management </w:t>
            </w:r>
          </w:p>
          <w:p w:rsidR="00926C59" w:rsidRDefault="0005772C">
            <w:pPr>
              <w:numPr>
                <w:ilvl w:val="0"/>
                <w:numId w:val="1"/>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2: Workplace safety measur</w:t>
            </w:r>
            <w:r>
              <w:rPr>
                <w:rFonts w:ascii="Libre Baskerville" w:eastAsia="Libre Baskerville" w:hAnsi="Libre Baskerville" w:cs="Libre Baskerville"/>
                <w:sz w:val="18"/>
                <w:szCs w:val="18"/>
              </w:rPr>
              <w:t xml:space="preserve">ement and decent workplace  </w:t>
            </w:r>
          </w:p>
          <w:p w:rsidR="00926C59" w:rsidRDefault="0005772C">
            <w:pPr>
              <w:numPr>
                <w:ilvl w:val="0"/>
                <w:numId w:val="1"/>
              </w:numPr>
              <w:spacing w:after="0" w:line="276" w:lineRule="auto"/>
              <w:jc w:val="both"/>
              <w:rPr>
                <w:rFonts w:ascii="Libre Baskerville" w:eastAsia="Libre Baskerville" w:hAnsi="Libre Baskerville" w:cs="Libre Baskerville"/>
                <w:sz w:val="20"/>
                <w:szCs w:val="20"/>
              </w:rPr>
            </w:pPr>
            <w:r>
              <w:rPr>
                <w:rFonts w:ascii="Libre Baskerville" w:eastAsia="Libre Baskerville" w:hAnsi="Libre Baskerville" w:cs="Libre Baskerville"/>
                <w:sz w:val="18"/>
                <w:szCs w:val="18"/>
              </w:rPr>
              <w:t>INT 1, 4, 5 &amp; 7: Capacity development support for moving to Tier A</w:t>
            </w:r>
          </w:p>
          <w:p w:rsidR="00926C59" w:rsidRDefault="0005772C">
            <w:pPr>
              <w:numPr>
                <w:ilvl w:val="0"/>
                <w:numId w:val="1"/>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INT 4: Manufacturing reengineering for their signature product/s or services to increase efficiency that will make them ready to sell their products in the B2B </w:t>
            </w:r>
            <w:r>
              <w:rPr>
                <w:rFonts w:ascii="Libre Baskerville" w:eastAsia="Libre Baskerville" w:hAnsi="Libre Baskerville" w:cs="Libre Baskerville"/>
                <w:sz w:val="18"/>
                <w:szCs w:val="18"/>
              </w:rPr>
              <w:t xml:space="preserve">Market. </w:t>
            </w:r>
          </w:p>
          <w:p w:rsidR="00926C59" w:rsidRDefault="0005772C">
            <w:pPr>
              <w:numPr>
                <w:ilvl w:val="0"/>
                <w:numId w:val="1"/>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lastRenderedPageBreak/>
              <w:t>INT 5: Access to finance-small scale: As they have most of the essential documents to avail it</w:t>
            </w:r>
          </w:p>
          <w:p w:rsidR="00926C59" w:rsidRDefault="0005772C">
            <w:pPr>
              <w:numPr>
                <w:ilvl w:val="0"/>
                <w:numId w:val="1"/>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Access to B2C market: Online (</w:t>
            </w:r>
            <w:proofErr w:type="spellStart"/>
            <w:r>
              <w:rPr>
                <w:rFonts w:ascii="Libre Baskerville" w:eastAsia="Libre Baskerville" w:hAnsi="Libre Baskerville" w:cs="Libre Baskerville"/>
                <w:sz w:val="18"/>
                <w:szCs w:val="18"/>
              </w:rPr>
              <w:t>Bagdoom</w:t>
            </w:r>
            <w:proofErr w:type="spellEnd"/>
            <w:r>
              <w:rPr>
                <w:rFonts w:ascii="Libre Baskerville" w:eastAsia="Libre Baskerville" w:hAnsi="Libre Baskerville" w:cs="Libre Baskerville"/>
                <w:sz w:val="18"/>
                <w:szCs w:val="18"/>
              </w:rPr>
              <w:t>, others) &amp; offline (regional fair &amp; others)</w:t>
            </w:r>
          </w:p>
          <w:p w:rsidR="00926C59" w:rsidRDefault="0005772C">
            <w:pPr>
              <w:numPr>
                <w:ilvl w:val="0"/>
                <w:numId w:val="1"/>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Access to B2B market:  Only for those SMEs who are capab</w:t>
            </w:r>
            <w:r>
              <w:rPr>
                <w:rFonts w:ascii="Libre Baskerville" w:eastAsia="Libre Baskerville" w:hAnsi="Libre Baskerville" w:cs="Libre Baskerville"/>
                <w:sz w:val="18"/>
                <w:szCs w:val="18"/>
              </w:rPr>
              <w:t>le (but very few)</w:t>
            </w:r>
          </w:p>
          <w:p w:rsidR="00926C59" w:rsidRDefault="0005772C">
            <w:pPr>
              <w:numPr>
                <w:ilvl w:val="0"/>
                <w:numId w:val="1"/>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Priority to get regional level fair participation</w:t>
            </w:r>
          </w:p>
        </w:tc>
      </w:tr>
      <w:tr w:rsidR="00926C59">
        <w:trPr>
          <w:trHeight w:val="380"/>
        </w:trPr>
        <w:tc>
          <w:tcPr>
            <w:tcW w:w="9603" w:type="dxa"/>
            <w:vMerge/>
            <w:shd w:val="clear" w:color="auto" w:fill="auto"/>
            <w:tcMar>
              <w:top w:w="100" w:type="dxa"/>
              <w:left w:w="100" w:type="dxa"/>
              <w:bottom w:w="100" w:type="dxa"/>
              <w:right w:w="100" w:type="dxa"/>
            </w:tcMar>
          </w:tcPr>
          <w:p w:rsidR="00926C59" w:rsidRDefault="00926C59">
            <w:pPr>
              <w:widowControl w:val="0"/>
              <w:spacing w:after="0" w:line="240" w:lineRule="auto"/>
              <w:jc w:val="both"/>
              <w:rPr>
                <w:rFonts w:ascii="Libre Baskerville" w:eastAsia="Libre Baskerville" w:hAnsi="Libre Baskerville" w:cs="Libre Baskerville"/>
                <w:b/>
                <w:color w:val="3BC466"/>
                <w:sz w:val="18"/>
                <w:szCs w:val="18"/>
              </w:rPr>
            </w:pPr>
          </w:p>
        </w:tc>
      </w:tr>
    </w:tbl>
    <w:p w:rsidR="00926C59" w:rsidRDefault="0005772C">
      <w:pPr>
        <w:spacing w:line="312" w:lineRule="auto"/>
        <w:jc w:val="both"/>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lastRenderedPageBreak/>
        <w:t> </w:t>
      </w:r>
    </w:p>
    <w:p w:rsidR="00926C59" w:rsidRDefault="0005772C">
      <w:pPr>
        <w:spacing w:line="312" w:lineRule="auto"/>
        <w:jc w:val="both"/>
        <w:rPr>
          <w:rFonts w:ascii="Libre Baskerville" w:eastAsia="Libre Baskerville" w:hAnsi="Libre Baskerville" w:cs="Libre Baskerville"/>
          <w:b/>
          <w:color w:val="3BC466"/>
          <w:sz w:val="18"/>
          <w:szCs w:val="18"/>
        </w:rPr>
      </w:pPr>
      <w:r>
        <w:rPr>
          <w:rFonts w:ascii="Roboto Slab" w:eastAsia="Roboto Slab" w:hAnsi="Roboto Slab" w:cs="Roboto Slab"/>
          <w:b/>
          <w:color w:val="6AA84F"/>
          <w:u w:val="single"/>
        </w:rPr>
        <w:t xml:space="preserve">Tier C SMEs: </w:t>
      </w:r>
      <w:r>
        <w:rPr>
          <w:rFonts w:ascii="Libre Baskerville" w:eastAsia="Libre Baskerville" w:hAnsi="Libre Baskerville" w:cs="Libre Baskerville"/>
          <w:sz w:val="18"/>
          <w:szCs w:val="18"/>
        </w:rPr>
        <w:t>This is the third</w:t>
      </w:r>
      <w:r>
        <w:rPr>
          <w:rFonts w:ascii="Libre Baskerville" w:eastAsia="Libre Baskerville" w:hAnsi="Libre Baskerville" w:cs="Libre Baskerville"/>
          <w:sz w:val="18"/>
          <w:szCs w:val="18"/>
        </w:rPr>
        <w:t xml:space="preserve"> tier of the SMEs who are currently in the growth stage of their business. They have at least an updated trade license and smartphone for their business. This tier comprises new SMEs </w:t>
      </w:r>
      <w:proofErr w:type="spellStart"/>
      <w:r>
        <w:rPr>
          <w:rFonts w:ascii="Libre Baskerville" w:eastAsia="Libre Baskerville" w:hAnsi="Libre Baskerville" w:cs="Libre Baskerville"/>
          <w:sz w:val="18"/>
          <w:szCs w:val="18"/>
        </w:rPr>
        <w:t>onboarded</w:t>
      </w:r>
      <w:proofErr w:type="spellEnd"/>
      <w:r>
        <w:rPr>
          <w:rFonts w:ascii="Libre Baskerville" w:eastAsia="Libre Baskerville" w:hAnsi="Libre Baskerville" w:cs="Libre Baskerville"/>
          <w:sz w:val="18"/>
          <w:szCs w:val="18"/>
        </w:rPr>
        <w:t xml:space="preserve"> (cohort 2) along with previous cohort SMEs who are lacking in p</w:t>
      </w:r>
      <w:r>
        <w:rPr>
          <w:rFonts w:ascii="Libre Baskerville" w:eastAsia="Libre Baskerville" w:hAnsi="Libre Baskerville" w:cs="Libre Baskerville"/>
          <w:sz w:val="18"/>
          <w:szCs w:val="18"/>
        </w:rPr>
        <w:t>erformance indicators. As there is significant room for growth for these SMEs, they will be groomed as specialists in offering certain products and services. This tier mostly gets subcontracted orders from Tiers A &amp; B and supplies to them directly. Followi</w:t>
      </w:r>
      <w:r>
        <w:rPr>
          <w:rFonts w:ascii="Libre Baskerville" w:eastAsia="Libre Baskerville" w:hAnsi="Libre Baskerville" w:cs="Libre Baskerville"/>
          <w:sz w:val="18"/>
          <w:szCs w:val="18"/>
        </w:rPr>
        <w:t xml:space="preserve">ng support can </w:t>
      </w:r>
      <w:proofErr w:type="gramStart"/>
      <w:r>
        <w:rPr>
          <w:rFonts w:ascii="Libre Baskerville" w:eastAsia="Libre Baskerville" w:hAnsi="Libre Baskerville" w:cs="Libre Baskerville"/>
          <w:sz w:val="18"/>
          <w:szCs w:val="18"/>
        </w:rPr>
        <w:t>delivered</w:t>
      </w:r>
      <w:proofErr w:type="gramEnd"/>
      <w:r>
        <w:rPr>
          <w:rFonts w:ascii="Libre Baskerville" w:eastAsia="Libre Baskerville" w:hAnsi="Libre Baskerville" w:cs="Libre Baskerville"/>
          <w:sz w:val="18"/>
          <w:szCs w:val="18"/>
        </w:rPr>
        <w:t xml:space="preserve"> to this tier of SME: </w:t>
      </w:r>
      <w:r>
        <w:rPr>
          <w:rFonts w:ascii="Libre Baskerville" w:eastAsia="Libre Baskerville" w:hAnsi="Libre Baskerville" w:cs="Libre Baskerville"/>
          <w:sz w:val="20"/>
          <w:szCs w:val="20"/>
        </w:rPr>
        <w:t xml:space="preserve"> </w:t>
      </w:r>
    </w:p>
    <w:tbl>
      <w:tblPr>
        <w:tblStyle w:val="a2"/>
        <w:tblW w:w="9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5"/>
      </w:tblGrid>
      <w:tr w:rsidR="00926C59">
        <w:trPr>
          <w:trHeight w:val="380"/>
        </w:trPr>
        <w:tc>
          <w:tcPr>
            <w:tcW w:w="9603" w:type="dxa"/>
            <w:shd w:val="clear" w:color="auto" w:fill="6AA84F"/>
            <w:tcMar>
              <w:top w:w="100" w:type="dxa"/>
              <w:left w:w="100" w:type="dxa"/>
              <w:bottom w:w="100" w:type="dxa"/>
              <w:right w:w="100" w:type="dxa"/>
            </w:tcMar>
          </w:tcPr>
          <w:p w:rsidR="00926C59" w:rsidRDefault="0005772C">
            <w:pPr>
              <w:widowControl w:val="0"/>
              <w:spacing w:after="0" w:line="240" w:lineRule="auto"/>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Activity Focus for Tier C SMEs</w:t>
            </w:r>
          </w:p>
        </w:tc>
      </w:tr>
      <w:tr w:rsidR="00926C59">
        <w:trPr>
          <w:trHeight w:val="380"/>
        </w:trPr>
        <w:tc>
          <w:tcPr>
            <w:tcW w:w="9603" w:type="dxa"/>
            <w:vMerge w:val="restart"/>
            <w:shd w:val="clear" w:color="auto" w:fill="auto"/>
            <w:tcMar>
              <w:top w:w="100" w:type="dxa"/>
              <w:left w:w="100" w:type="dxa"/>
              <w:bottom w:w="100" w:type="dxa"/>
              <w:right w:w="100" w:type="dxa"/>
            </w:tcMar>
          </w:tcPr>
          <w:p w:rsidR="00926C59" w:rsidRDefault="0005772C">
            <w:pPr>
              <w:numPr>
                <w:ilvl w:val="0"/>
                <w:numId w:val="4"/>
              </w:numPr>
              <w:pBdr>
                <w:top w:val="nil"/>
                <w:left w:val="nil"/>
                <w:bottom w:val="nil"/>
                <w:right w:val="nil"/>
                <w:between w:val="nil"/>
              </w:pBd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1: Support for Financial Management</w:t>
            </w:r>
          </w:p>
          <w:p w:rsidR="00926C59" w:rsidRDefault="0005772C">
            <w:pPr>
              <w:numPr>
                <w:ilvl w:val="0"/>
                <w:numId w:val="4"/>
              </w:numPr>
              <w:pBdr>
                <w:top w:val="nil"/>
                <w:left w:val="nil"/>
                <w:bottom w:val="nil"/>
                <w:right w:val="nil"/>
                <w:between w:val="nil"/>
              </w:pBd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INT 1, 4, 5 &amp; 7: Capacity development support for moving to Tier B </w:t>
            </w:r>
          </w:p>
          <w:p w:rsidR="00926C59" w:rsidRDefault="0005772C">
            <w:pPr>
              <w:numPr>
                <w:ilvl w:val="0"/>
                <w:numId w:val="4"/>
              </w:numPr>
              <w:pBdr>
                <w:top w:val="nil"/>
                <w:left w:val="nil"/>
                <w:bottom w:val="nil"/>
                <w:right w:val="nil"/>
                <w:between w:val="nil"/>
              </w:pBd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INT 4: Manufacturing reengineering for their signature product/s or services to increase efficiency that will make them ready to sell their product in the B2B Market </w:t>
            </w:r>
          </w:p>
          <w:p w:rsidR="00926C59" w:rsidRDefault="0005772C">
            <w:pPr>
              <w:numPr>
                <w:ilvl w:val="0"/>
                <w:numId w:val="4"/>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Access to B2C market: Online (</w:t>
            </w:r>
            <w:proofErr w:type="spellStart"/>
            <w:r>
              <w:rPr>
                <w:rFonts w:ascii="Libre Baskerville" w:eastAsia="Libre Baskerville" w:hAnsi="Libre Baskerville" w:cs="Libre Baskerville"/>
                <w:sz w:val="18"/>
                <w:szCs w:val="18"/>
              </w:rPr>
              <w:t>Bagdoom</w:t>
            </w:r>
            <w:proofErr w:type="spellEnd"/>
            <w:r>
              <w:rPr>
                <w:rFonts w:ascii="Libre Baskerville" w:eastAsia="Libre Baskerville" w:hAnsi="Libre Baskerville" w:cs="Libre Baskerville"/>
                <w:sz w:val="18"/>
                <w:szCs w:val="18"/>
              </w:rPr>
              <w:t>, others) &amp; offline (regional fair &amp; others)</w:t>
            </w:r>
          </w:p>
          <w:p w:rsidR="00926C59" w:rsidRDefault="0005772C">
            <w:pPr>
              <w:numPr>
                <w:ilvl w:val="0"/>
                <w:numId w:val="4"/>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INT 7: Access to B2B market:  Through subcontracted orders from Tier A &amp; B  </w:t>
            </w:r>
          </w:p>
          <w:p w:rsidR="00926C59" w:rsidRDefault="0005772C">
            <w:pPr>
              <w:numPr>
                <w:ilvl w:val="0"/>
                <w:numId w:val="4"/>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Priority to get local level fairs [District]</w:t>
            </w:r>
          </w:p>
        </w:tc>
      </w:tr>
      <w:tr w:rsidR="00926C59">
        <w:trPr>
          <w:trHeight w:val="380"/>
        </w:trPr>
        <w:tc>
          <w:tcPr>
            <w:tcW w:w="9603" w:type="dxa"/>
            <w:vMerge/>
            <w:shd w:val="clear" w:color="auto" w:fill="auto"/>
            <w:tcMar>
              <w:top w:w="100" w:type="dxa"/>
              <w:left w:w="100" w:type="dxa"/>
              <w:bottom w:w="100" w:type="dxa"/>
              <w:right w:w="100" w:type="dxa"/>
            </w:tcMar>
          </w:tcPr>
          <w:p w:rsidR="00926C59" w:rsidRDefault="00926C59">
            <w:pPr>
              <w:widowControl w:val="0"/>
              <w:spacing w:after="0" w:line="240" w:lineRule="auto"/>
              <w:jc w:val="both"/>
              <w:rPr>
                <w:rFonts w:ascii="Libre Baskerville" w:eastAsia="Libre Baskerville" w:hAnsi="Libre Baskerville" w:cs="Libre Baskerville"/>
                <w:b/>
                <w:color w:val="3BC466"/>
                <w:sz w:val="18"/>
                <w:szCs w:val="18"/>
              </w:rPr>
            </w:pPr>
          </w:p>
        </w:tc>
      </w:tr>
    </w:tbl>
    <w:p w:rsidR="00926C59" w:rsidRDefault="00926C59">
      <w:pPr>
        <w:spacing w:line="312" w:lineRule="auto"/>
        <w:jc w:val="both"/>
        <w:rPr>
          <w:rFonts w:ascii="Libre Baskerville" w:eastAsia="Libre Baskerville" w:hAnsi="Libre Baskerville" w:cs="Libre Baskerville"/>
          <w:sz w:val="20"/>
          <w:szCs w:val="20"/>
        </w:rPr>
      </w:pPr>
    </w:p>
    <w:p w:rsidR="00926C59" w:rsidRDefault="0005772C">
      <w:pPr>
        <w:spacing w:line="312" w:lineRule="auto"/>
        <w:jc w:val="both"/>
        <w:rPr>
          <w:rFonts w:ascii="Libre Baskerville" w:eastAsia="Libre Baskerville" w:hAnsi="Libre Baskerville" w:cs="Libre Baskerville"/>
          <w:sz w:val="20"/>
          <w:szCs w:val="20"/>
        </w:rPr>
      </w:pPr>
      <w:r>
        <w:rPr>
          <w:rFonts w:ascii="Roboto Slab" w:eastAsia="Roboto Slab" w:hAnsi="Roboto Slab" w:cs="Roboto Slab"/>
          <w:b/>
          <w:color w:val="6AA84F"/>
          <w:u w:val="single"/>
        </w:rPr>
        <w:t xml:space="preserve">Tier D SMEs: </w:t>
      </w:r>
    </w:p>
    <w:p w:rsidR="00926C59" w:rsidRDefault="0005772C">
      <w:pPr>
        <w:spacing w:after="0" w:line="312" w:lineRule="auto"/>
        <w:jc w:val="both"/>
        <w:rPr>
          <w:rFonts w:ascii="Libre Baskerville" w:eastAsia="Libre Baskerville" w:hAnsi="Libre Baskerville" w:cs="Libre Baskerville"/>
          <w:b/>
          <w:color w:val="3BC466"/>
          <w:sz w:val="18"/>
          <w:szCs w:val="18"/>
        </w:rPr>
      </w:pPr>
      <w:r>
        <w:rPr>
          <w:rFonts w:ascii="Libre Baskerville" w:eastAsia="Libre Baskerville" w:hAnsi="Libre Baskerville" w:cs="Libre Baskerville"/>
          <w:sz w:val="18"/>
          <w:szCs w:val="18"/>
        </w:rPr>
        <w:t>This is the fourth</w:t>
      </w:r>
      <w:r>
        <w:rPr>
          <w:rFonts w:ascii="Libre Baskerville" w:eastAsia="Libre Baskerville" w:hAnsi="Libre Baskerville" w:cs="Libre Baskerville"/>
          <w:sz w:val="18"/>
          <w:szCs w:val="18"/>
        </w:rPr>
        <w:t xml:space="preserve"> tier of SMEs who have only one or less of the six physical evidences. Similar to Tier C, this includes new SMEs </w:t>
      </w:r>
      <w:proofErr w:type="spellStart"/>
      <w:r>
        <w:rPr>
          <w:rFonts w:ascii="Libre Baskerville" w:eastAsia="Libre Baskerville" w:hAnsi="Libre Baskerville" w:cs="Libre Baskerville"/>
          <w:sz w:val="18"/>
          <w:szCs w:val="18"/>
        </w:rPr>
        <w:t>onboarded</w:t>
      </w:r>
      <w:proofErr w:type="spellEnd"/>
      <w:r>
        <w:rPr>
          <w:rFonts w:ascii="Libre Baskerville" w:eastAsia="Libre Baskerville" w:hAnsi="Libre Baskerville" w:cs="Libre Baskerville"/>
          <w:sz w:val="18"/>
          <w:szCs w:val="18"/>
        </w:rPr>
        <w:t xml:space="preserve"> (cohort 2) along with previous cohort SMEs who are lacking in performance indicators. However, they have either not formalized their </w:t>
      </w:r>
      <w:r>
        <w:rPr>
          <w:rFonts w:ascii="Libre Baskerville" w:eastAsia="Libre Baskerville" w:hAnsi="Libre Baskerville" w:cs="Libre Baskerville"/>
          <w:sz w:val="18"/>
          <w:szCs w:val="18"/>
        </w:rPr>
        <w:t>business by availing a trade license, or have done so before, but their trade licenses have currently expired. Therefore, the support should mostly focus on the graduation of these SMEs to the upper level, tier C - which includes the mandatory formalizatio</w:t>
      </w:r>
      <w:r>
        <w:rPr>
          <w:rFonts w:ascii="Libre Baskerville" w:eastAsia="Libre Baskerville" w:hAnsi="Libre Baskerville" w:cs="Libre Baskerville"/>
          <w:sz w:val="18"/>
          <w:szCs w:val="18"/>
        </w:rPr>
        <w:t>n of their business through acquisition of trade license and other business registration documents. This tier mostly gets subcontracted orders from Tiers A &amp; B and supplies to them directly. The following support can be delivered to this tier of SME:</w:t>
      </w:r>
      <w:r>
        <w:rPr>
          <w:rFonts w:ascii="Libre Baskerville" w:eastAsia="Libre Baskerville" w:hAnsi="Libre Baskerville" w:cs="Libre Baskerville"/>
          <w:sz w:val="20"/>
          <w:szCs w:val="20"/>
        </w:rPr>
        <w:t xml:space="preserve"> - </w:t>
      </w:r>
    </w:p>
    <w:tbl>
      <w:tblPr>
        <w:tblStyle w:val="a3"/>
        <w:tblW w:w="9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5"/>
      </w:tblGrid>
      <w:tr w:rsidR="00926C59">
        <w:trPr>
          <w:trHeight w:val="380"/>
        </w:trPr>
        <w:tc>
          <w:tcPr>
            <w:tcW w:w="9603" w:type="dxa"/>
            <w:shd w:val="clear" w:color="auto" w:fill="6AA84F"/>
            <w:tcMar>
              <w:top w:w="100" w:type="dxa"/>
              <w:left w:w="100" w:type="dxa"/>
              <w:bottom w:w="100" w:type="dxa"/>
              <w:right w:w="100" w:type="dxa"/>
            </w:tcMar>
          </w:tcPr>
          <w:p w:rsidR="00926C59" w:rsidRDefault="0005772C">
            <w:pPr>
              <w:widowControl w:val="0"/>
              <w:spacing w:after="0" w:line="240" w:lineRule="auto"/>
              <w:jc w:val="both"/>
              <w:rPr>
                <w:rFonts w:ascii="Roboto Slab" w:eastAsia="Roboto Slab" w:hAnsi="Roboto Slab" w:cs="Roboto Slab"/>
                <w:b/>
                <w:color w:val="FFFFFF"/>
                <w:sz w:val="20"/>
                <w:szCs w:val="20"/>
              </w:rPr>
            </w:pPr>
            <w:r>
              <w:rPr>
                <w:rFonts w:ascii="Roboto Slab" w:eastAsia="Roboto Slab" w:hAnsi="Roboto Slab" w:cs="Roboto Slab"/>
                <w:b/>
                <w:color w:val="FFFFFF"/>
                <w:sz w:val="20"/>
                <w:szCs w:val="20"/>
              </w:rPr>
              <w:t>Activity Focus for Tier D SMEs</w:t>
            </w:r>
          </w:p>
        </w:tc>
      </w:tr>
      <w:tr w:rsidR="00926C59">
        <w:trPr>
          <w:trHeight w:val="380"/>
        </w:trPr>
        <w:tc>
          <w:tcPr>
            <w:tcW w:w="9603" w:type="dxa"/>
            <w:vMerge w:val="restart"/>
            <w:shd w:val="clear" w:color="auto" w:fill="auto"/>
            <w:tcMar>
              <w:top w:w="100" w:type="dxa"/>
              <w:left w:w="100" w:type="dxa"/>
              <w:bottom w:w="100" w:type="dxa"/>
              <w:right w:w="100" w:type="dxa"/>
            </w:tcMar>
          </w:tcPr>
          <w:p w:rsidR="00926C59" w:rsidRDefault="0005772C">
            <w:pPr>
              <w:numPr>
                <w:ilvl w:val="0"/>
                <w:numId w:val="3"/>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1: Support for Financial Management</w:t>
            </w:r>
          </w:p>
          <w:p w:rsidR="00926C59" w:rsidRDefault="0005772C">
            <w:pPr>
              <w:numPr>
                <w:ilvl w:val="0"/>
                <w:numId w:val="3"/>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INT 1, 4, 5 &amp; 7: Capacity development support for moving to Tier C </w:t>
            </w:r>
          </w:p>
          <w:p w:rsidR="00926C59" w:rsidRDefault="0005772C">
            <w:pPr>
              <w:numPr>
                <w:ilvl w:val="0"/>
                <w:numId w:val="3"/>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4: Manufacturing reengineering for their signature product/s or services to increase efficiency that will make t</w:t>
            </w:r>
            <w:r>
              <w:rPr>
                <w:rFonts w:ascii="Libre Baskerville" w:eastAsia="Libre Baskerville" w:hAnsi="Libre Baskerville" w:cs="Libre Baskerville"/>
                <w:sz w:val="18"/>
                <w:szCs w:val="18"/>
              </w:rPr>
              <w:t>hem ready to sell their product in the B2B Markets</w:t>
            </w:r>
          </w:p>
          <w:p w:rsidR="00926C59" w:rsidRDefault="0005772C">
            <w:pPr>
              <w:numPr>
                <w:ilvl w:val="0"/>
                <w:numId w:val="3"/>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Access to B2C market: Online (</w:t>
            </w:r>
            <w:proofErr w:type="spellStart"/>
            <w:r>
              <w:rPr>
                <w:rFonts w:ascii="Libre Baskerville" w:eastAsia="Libre Baskerville" w:hAnsi="Libre Baskerville" w:cs="Libre Baskerville"/>
                <w:sz w:val="18"/>
                <w:szCs w:val="18"/>
              </w:rPr>
              <w:t>Bagdoom</w:t>
            </w:r>
            <w:proofErr w:type="spellEnd"/>
            <w:r>
              <w:rPr>
                <w:rFonts w:ascii="Libre Baskerville" w:eastAsia="Libre Baskerville" w:hAnsi="Libre Baskerville" w:cs="Libre Baskerville"/>
                <w:sz w:val="18"/>
                <w:szCs w:val="18"/>
              </w:rPr>
              <w:t>, others) &amp; offline (regional Fair &amp; others)</w:t>
            </w:r>
          </w:p>
          <w:p w:rsidR="00926C59" w:rsidRDefault="0005772C">
            <w:pPr>
              <w:numPr>
                <w:ilvl w:val="0"/>
                <w:numId w:val="3"/>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INT 7: Access to the B2B market: Through subcontracted orders from Tier A &amp; B </w:t>
            </w:r>
          </w:p>
          <w:p w:rsidR="00926C59" w:rsidRDefault="0005772C">
            <w:pPr>
              <w:numPr>
                <w:ilvl w:val="0"/>
                <w:numId w:val="3"/>
              </w:numPr>
              <w:spacing w:after="0" w:line="276" w:lineRule="auto"/>
              <w:jc w:val="both"/>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INT 7: Priority to get local level fair [</w:t>
            </w:r>
            <w:proofErr w:type="spellStart"/>
            <w:r>
              <w:rPr>
                <w:rFonts w:ascii="Libre Baskerville" w:eastAsia="Libre Baskerville" w:hAnsi="Libre Baskerville" w:cs="Libre Baskerville"/>
                <w:sz w:val="18"/>
                <w:szCs w:val="18"/>
              </w:rPr>
              <w:t>Upazila</w:t>
            </w:r>
            <w:proofErr w:type="spellEnd"/>
            <w:r>
              <w:rPr>
                <w:rFonts w:ascii="Libre Baskerville" w:eastAsia="Libre Baskerville" w:hAnsi="Libre Baskerville" w:cs="Libre Baskerville"/>
                <w:sz w:val="18"/>
                <w:szCs w:val="18"/>
              </w:rPr>
              <w:t>]</w:t>
            </w:r>
          </w:p>
        </w:tc>
      </w:tr>
      <w:tr w:rsidR="00926C59">
        <w:trPr>
          <w:trHeight w:val="380"/>
        </w:trPr>
        <w:tc>
          <w:tcPr>
            <w:tcW w:w="9603" w:type="dxa"/>
            <w:vMerge/>
            <w:shd w:val="clear" w:color="auto" w:fill="auto"/>
            <w:tcMar>
              <w:top w:w="100" w:type="dxa"/>
              <w:left w:w="100" w:type="dxa"/>
              <w:bottom w:w="100" w:type="dxa"/>
              <w:right w:w="100" w:type="dxa"/>
            </w:tcMar>
          </w:tcPr>
          <w:p w:rsidR="00926C59" w:rsidRDefault="00926C59">
            <w:pPr>
              <w:widowControl w:val="0"/>
              <w:spacing w:after="0" w:line="240" w:lineRule="auto"/>
              <w:jc w:val="both"/>
              <w:rPr>
                <w:rFonts w:ascii="Libre Baskerville" w:eastAsia="Libre Baskerville" w:hAnsi="Libre Baskerville" w:cs="Libre Baskerville"/>
                <w:b/>
                <w:color w:val="3BC466"/>
                <w:sz w:val="18"/>
                <w:szCs w:val="18"/>
              </w:rPr>
            </w:pPr>
          </w:p>
        </w:tc>
      </w:tr>
    </w:tbl>
    <w:p w:rsidR="00926C59" w:rsidRDefault="00926C59">
      <w:pPr>
        <w:spacing w:line="312" w:lineRule="auto"/>
        <w:jc w:val="both"/>
        <w:rPr>
          <w:rFonts w:ascii="Libre Baskerville" w:eastAsia="Libre Baskerville" w:hAnsi="Libre Baskerville" w:cs="Libre Baskerville"/>
          <w:sz w:val="18"/>
          <w:szCs w:val="18"/>
        </w:rPr>
      </w:pPr>
    </w:p>
    <w:sectPr w:rsidR="00926C59">
      <w:headerReference w:type="default" r:id="rId9"/>
      <w:footerReference w:type="default" r:id="rId10"/>
      <w:headerReference w:type="first" r:id="rId11"/>
      <w:footerReference w:type="first" r:id="rId12"/>
      <w:pgSz w:w="11909" w:h="16704"/>
      <w:pgMar w:top="1152" w:right="1152" w:bottom="1152" w:left="1152"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2C" w:rsidRDefault="0005772C">
      <w:pPr>
        <w:spacing w:after="0" w:line="240" w:lineRule="auto"/>
      </w:pPr>
      <w:r>
        <w:separator/>
      </w:r>
    </w:p>
  </w:endnote>
  <w:endnote w:type="continuationSeparator" w:id="0">
    <w:p w:rsidR="0005772C" w:rsidRDefault="0005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charset w:val="00"/>
    <w:family w:val="auto"/>
    <w:pitch w:val="default"/>
  </w:font>
  <w:font w:name="Libre Baskervill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59" w:rsidRDefault="00926C5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59" w:rsidRDefault="00926C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2C" w:rsidRDefault="0005772C">
      <w:pPr>
        <w:spacing w:after="0" w:line="240" w:lineRule="auto"/>
      </w:pPr>
      <w:r>
        <w:separator/>
      </w:r>
    </w:p>
  </w:footnote>
  <w:footnote w:type="continuationSeparator" w:id="0">
    <w:p w:rsidR="0005772C" w:rsidRDefault="0005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59" w:rsidRDefault="00926C59"/>
  <w:p w:rsidR="00926C59" w:rsidRDefault="00926C59">
    <w:pPr>
      <w:jc w:val="right"/>
      <w:rPr>
        <w:rFonts w:ascii="Roboto Slab" w:eastAsia="Roboto Slab" w:hAnsi="Roboto Slab" w:cs="Roboto Slab"/>
        <w:sz w:val="16"/>
        <w:szCs w:val="16"/>
      </w:rPr>
    </w:pPr>
  </w:p>
  <w:p w:rsidR="00926C59" w:rsidRDefault="0005772C">
    <w:pPr>
      <w:jc w:val="right"/>
      <w:rPr>
        <w:rFonts w:ascii="Roboto Slab" w:eastAsia="Roboto Slab" w:hAnsi="Roboto Slab" w:cs="Roboto Slab"/>
        <w:sz w:val="16"/>
        <w:szCs w:val="16"/>
      </w:rPr>
    </w:pPr>
    <w:r>
      <w:rPr>
        <w:rFonts w:ascii="Roboto Slab" w:eastAsia="Roboto Slab" w:hAnsi="Roboto Slab" w:cs="Roboto Slab"/>
        <w:sz w:val="16"/>
        <w:szCs w:val="16"/>
      </w:rPr>
      <w:t xml:space="preserve">WEESMS | SME </w:t>
    </w:r>
    <w:proofErr w:type="spellStart"/>
    <w:r>
      <w:rPr>
        <w:rFonts w:ascii="Roboto Slab" w:eastAsia="Roboto Slab" w:hAnsi="Roboto Slab" w:cs="Roboto Slab"/>
        <w:sz w:val="16"/>
        <w:szCs w:val="16"/>
      </w:rPr>
      <w:t>Tiering</w:t>
    </w:r>
    <w:proofErr w:type="spellEnd"/>
    <w:r>
      <w:rPr>
        <w:rFonts w:ascii="Roboto Slab" w:eastAsia="Roboto Slab" w:hAnsi="Roboto Slab" w:cs="Roboto Slab"/>
        <w:sz w:val="16"/>
        <w:szCs w:val="16"/>
      </w:rPr>
      <w:t xml:space="preserve"> </w:t>
    </w:r>
    <w:proofErr w:type="spellStart"/>
    <w:r>
      <w:rPr>
        <w:rFonts w:ascii="Roboto Slab" w:eastAsia="Roboto Slab" w:hAnsi="Roboto Slab" w:cs="Roboto Slab"/>
        <w:sz w:val="16"/>
        <w:szCs w:val="16"/>
      </w:rPr>
      <w:t>Criterias</w:t>
    </w:r>
    <w:proofErr w:type="spellEnd"/>
  </w:p>
  <w:p w:rsidR="00926C59" w:rsidRDefault="0005772C">
    <w:r>
      <w:pict>
        <v:rect id="_x0000_i1026" style="width:0;height:1.5pt" o:hralign="center" o:hrstd="t" o:hr="t" fillcolor="#a0a0a0" stroked="f"/>
      </w:pict>
    </w:r>
  </w:p>
  <w:p w:rsidR="00926C59" w:rsidRDefault="00926C5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59" w:rsidRDefault="00926C5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226"/>
    <w:multiLevelType w:val="multilevel"/>
    <w:tmpl w:val="7EFCE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D44E80"/>
    <w:multiLevelType w:val="multilevel"/>
    <w:tmpl w:val="8AC88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BF5239"/>
    <w:multiLevelType w:val="multilevel"/>
    <w:tmpl w:val="29AAA246"/>
    <w:lvl w:ilvl="0">
      <w:start w:val="1"/>
      <w:numFmt w:val="decimal"/>
      <w:lvlText w:val="%1."/>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7443C54"/>
    <w:multiLevelType w:val="multilevel"/>
    <w:tmpl w:val="64347956"/>
    <w:lvl w:ilvl="0">
      <w:start w:val="1"/>
      <w:numFmt w:val="decimal"/>
      <w:lvlText w:val="%1."/>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59"/>
    <w:rsid w:val="0005772C"/>
    <w:rsid w:val="00926C59"/>
    <w:rsid w:val="009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2EAC9-02EB-495C-AAE5-B5B63418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2021-09-05T12:06:00Z</dcterms:created>
  <dcterms:modified xsi:type="dcterms:W3CDTF">2021-09-05T12:06:00Z</dcterms:modified>
</cp:coreProperties>
</file>